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00" w:lineRule="exact"/>
        <w:jc w:val="center"/>
        <w:rPr>
          <w:rFonts w:ascii="仿宋_GB2312" w:hAnsi="宋体" w:eastAsia="仿宋_GB2312" w:cs="仿宋_GB2312"/>
          <w:b/>
          <w:bCs/>
          <w:sz w:val="44"/>
          <w:szCs w:val="44"/>
        </w:rPr>
      </w:pPr>
      <w:r>
        <w:rPr>
          <w:rFonts w:hint="eastAsia" w:ascii="仿宋_GB2312" w:hAnsi="宋体" w:eastAsia="仿宋_GB2312" w:cs="仿宋_GB2312"/>
          <w:b/>
          <w:bCs/>
          <w:sz w:val="44"/>
          <w:szCs w:val="44"/>
        </w:rPr>
        <w:t>吉首大学临床医学硕士</w:t>
      </w:r>
    </w:p>
    <w:p>
      <w:pPr>
        <w:spacing w:line="500" w:lineRule="exact"/>
        <w:jc w:val="center"/>
        <w:rPr>
          <w:rFonts w:ascii="仿宋_GB2312" w:hAnsi="宋体" w:eastAsia="仿宋_GB2312"/>
          <w:b/>
          <w:bCs/>
          <w:sz w:val="44"/>
          <w:szCs w:val="44"/>
        </w:rPr>
      </w:pPr>
      <w:r>
        <w:rPr>
          <w:rFonts w:hint="eastAsia" w:ascii="仿宋_GB2312" w:hAnsi="宋体" w:eastAsia="仿宋_GB2312" w:cs="仿宋_GB2312"/>
          <w:b/>
          <w:bCs/>
          <w:sz w:val="44"/>
          <w:szCs w:val="44"/>
        </w:rPr>
        <w:t>研究生导师遴选办法</w:t>
      </w:r>
    </w:p>
    <w:p>
      <w:pPr>
        <w:spacing w:line="360" w:lineRule="auto"/>
        <w:rPr>
          <w:sz w:val="24"/>
          <w:szCs w:val="24"/>
        </w:rPr>
      </w:pPr>
    </w:p>
    <w:p>
      <w:pPr>
        <w:spacing w:line="360" w:lineRule="auto"/>
        <w:ind w:firstLine="31680" w:firstLineChars="200"/>
        <w:rPr>
          <w:rFonts w:cs="宋体"/>
          <w:sz w:val="24"/>
          <w:szCs w:val="24"/>
        </w:rPr>
      </w:pPr>
      <w:r>
        <w:rPr>
          <w:rFonts w:hint="eastAsia" w:cs="宋体"/>
          <w:sz w:val="24"/>
          <w:szCs w:val="24"/>
        </w:rPr>
        <w:t>为满足我校临床医学硕士培养需求，保证研究生培养质量，充分发挥研究生指导教师在学位与研究生教育中的主导作用，根据《吉首大学硕士研究生导师遴选条例》及《吉首大学校外硕士研究生导师管理办法》有关规定，结合我校临床医学硕士培养的实际情况，制定本细则。</w:t>
      </w:r>
    </w:p>
    <w:p>
      <w:pPr>
        <w:pStyle w:val="7"/>
        <w:spacing w:line="500" w:lineRule="exact"/>
        <w:ind w:firstLine="0" w:firstLineChars="0"/>
        <w:jc w:val="center"/>
        <w:rPr>
          <w:rFonts w:ascii="仿宋_GB2312" w:hAnsi="宋体" w:eastAsia="仿宋_GB2312" w:cs="仿宋_GB2312"/>
          <w:b/>
          <w:bCs/>
          <w:sz w:val="32"/>
          <w:szCs w:val="32"/>
        </w:rPr>
      </w:pPr>
      <w:r>
        <w:rPr>
          <w:rFonts w:hint="eastAsia" w:ascii="仿宋_GB2312" w:hAnsi="宋体" w:eastAsia="仿宋_GB2312" w:cs="仿宋_GB2312"/>
          <w:b/>
          <w:bCs/>
          <w:sz w:val="32"/>
          <w:szCs w:val="32"/>
        </w:rPr>
        <w:t>第一章</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遴选基本原则</w:t>
      </w:r>
    </w:p>
    <w:p>
      <w:pPr>
        <w:numPr>
          <w:ilvl w:val="0"/>
          <w:numId w:val="1"/>
        </w:numPr>
        <w:spacing w:line="500" w:lineRule="exact"/>
        <w:ind w:firstLine="480"/>
        <w:rPr>
          <w:rFonts w:ascii="宋体" w:cs="宋体"/>
          <w:sz w:val="24"/>
          <w:szCs w:val="24"/>
        </w:rPr>
      </w:pPr>
      <w:r>
        <w:rPr>
          <w:rFonts w:hint="eastAsia" w:ascii="宋体" w:hAnsi="宋体" w:cs="宋体"/>
          <w:sz w:val="24"/>
          <w:szCs w:val="24"/>
        </w:rPr>
        <w:t>遴选的所有导师必须符合我校临床医学硕士专业学位培养方向，能够指导学生完成培养任务。</w:t>
      </w:r>
    </w:p>
    <w:p>
      <w:pPr>
        <w:numPr>
          <w:ilvl w:val="0"/>
          <w:numId w:val="1"/>
        </w:numPr>
        <w:spacing w:line="500" w:lineRule="exact"/>
        <w:ind w:firstLine="480"/>
        <w:rPr>
          <w:rFonts w:ascii="宋体" w:cs="宋体"/>
          <w:sz w:val="24"/>
          <w:szCs w:val="24"/>
        </w:rPr>
      </w:pPr>
      <w:r>
        <w:rPr>
          <w:rFonts w:hint="eastAsia" w:ascii="宋体" w:hAnsi="宋体" w:cs="宋体"/>
          <w:sz w:val="24"/>
          <w:szCs w:val="24"/>
        </w:rPr>
        <w:t>临床医学硕士研究生培养实行双导师制。由医学院、临床学院和学校基地医院遴选的导师共同担负研究生的指导培养任务。</w:t>
      </w:r>
    </w:p>
    <w:p>
      <w:pPr>
        <w:numPr>
          <w:ilvl w:val="0"/>
          <w:numId w:val="1"/>
        </w:numPr>
        <w:spacing w:line="500" w:lineRule="exact"/>
        <w:ind w:firstLine="480"/>
        <w:rPr>
          <w:rFonts w:ascii="宋体"/>
          <w:sz w:val="24"/>
          <w:szCs w:val="24"/>
        </w:rPr>
      </w:pPr>
      <w:r>
        <w:rPr>
          <w:rFonts w:hint="eastAsia" w:ascii="宋体" w:hAnsi="宋体" w:cs="宋体"/>
          <w:sz w:val="24"/>
          <w:szCs w:val="24"/>
        </w:rPr>
        <w:t>遴选过程公开透明，公正公平，坚持公示制度。遴选程序严格按《吉首大学硕士研究生导师遴选条例》中相关规定执行。</w:t>
      </w:r>
    </w:p>
    <w:p>
      <w:pPr>
        <w:pStyle w:val="7"/>
        <w:spacing w:line="500" w:lineRule="exact"/>
        <w:ind w:firstLine="0" w:firstLineChars="0"/>
        <w:jc w:val="center"/>
        <w:rPr>
          <w:rFonts w:ascii="仿宋_GB2312" w:hAnsi="宋体" w:eastAsia="仿宋_GB2312"/>
          <w:b/>
          <w:bCs/>
          <w:sz w:val="32"/>
          <w:szCs w:val="32"/>
        </w:rPr>
      </w:pPr>
      <w:r>
        <w:rPr>
          <w:rFonts w:hint="eastAsia" w:ascii="仿宋_GB2312" w:hAnsi="宋体" w:eastAsia="仿宋_GB2312" w:cs="仿宋_GB2312"/>
          <w:b/>
          <w:bCs/>
          <w:sz w:val="32"/>
          <w:szCs w:val="32"/>
        </w:rPr>
        <w:t>第二章</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医学院导师遴选条件</w:t>
      </w:r>
    </w:p>
    <w:p>
      <w:pPr>
        <w:numPr>
          <w:ilvl w:val="0"/>
          <w:numId w:val="1"/>
        </w:numPr>
        <w:spacing w:line="500" w:lineRule="exact"/>
        <w:ind w:firstLine="480"/>
        <w:rPr>
          <w:rFonts w:ascii="宋体"/>
          <w:sz w:val="24"/>
          <w:szCs w:val="24"/>
        </w:rPr>
      </w:pPr>
      <w:r>
        <w:rPr>
          <w:rFonts w:hint="eastAsia" w:ascii="宋体" w:hAnsi="宋体" w:cs="宋体"/>
          <w:sz w:val="24"/>
          <w:szCs w:val="24"/>
        </w:rPr>
        <w:t>医学院导师遴选的基本条件，参照《吉首大学硕士研究生导师遴选条例》中“第三章”执行。</w:t>
      </w:r>
    </w:p>
    <w:p>
      <w:pPr>
        <w:numPr>
          <w:ilvl w:val="0"/>
          <w:numId w:val="1"/>
        </w:numPr>
        <w:spacing w:line="500" w:lineRule="exact"/>
        <w:ind w:firstLine="480"/>
        <w:rPr>
          <w:rFonts w:ascii="宋体" w:cs="宋体"/>
          <w:sz w:val="24"/>
          <w:szCs w:val="24"/>
        </w:rPr>
      </w:pPr>
      <w:r>
        <w:rPr>
          <w:rFonts w:hint="eastAsia" w:ascii="宋体" w:hAnsi="宋体" w:cs="宋体"/>
          <w:sz w:val="24"/>
          <w:szCs w:val="24"/>
        </w:rPr>
        <w:t>校外兼职硕士研究生导师的遴选条件，参照《吉首大学硕士研究生导师遴选条例》中“第四章</w:t>
      </w:r>
      <w:r>
        <w:rPr>
          <w:rFonts w:ascii="宋体" w:hAnsi="宋体" w:cs="宋体"/>
          <w:sz w:val="24"/>
          <w:szCs w:val="24"/>
        </w:rPr>
        <w:t xml:space="preserve"> </w:t>
      </w:r>
      <w:r>
        <w:rPr>
          <w:rFonts w:hint="eastAsia" w:ascii="宋体" w:hAnsi="宋体" w:cs="宋体"/>
          <w:sz w:val="24"/>
          <w:szCs w:val="24"/>
        </w:rPr>
        <w:t>第十七条”执行。</w:t>
      </w:r>
    </w:p>
    <w:p>
      <w:pPr>
        <w:pStyle w:val="7"/>
        <w:spacing w:line="360" w:lineRule="auto"/>
        <w:ind w:firstLine="0" w:firstLineChars="0"/>
        <w:jc w:val="center"/>
        <w:rPr>
          <w:b/>
          <w:bCs/>
          <w:sz w:val="24"/>
          <w:szCs w:val="24"/>
        </w:rPr>
      </w:pPr>
      <w:r>
        <w:rPr>
          <w:rFonts w:hint="eastAsia" w:ascii="仿宋_GB2312" w:hAnsi="宋体" w:eastAsia="仿宋_GB2312" w:cs="仿宋_GB2312"/>
          <w:b/>
          <w:bCs/>
          <w:sz w:val="32"/>
          <w:szCs w:val="32"/>
        </w:rPr>
        <w:t>第三章</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临床学院导师遴选条件</w:t>
      </w:r>
    </w:p>
    <w:p>
      <w:pPr>
        <w:spacing w:line="360" w:lineRule="auto"/>
        <w:ind w:firstLine="31680" w:firstLineChars="200"/>
        <w:rPr>
          <w:sz w:val="24"/>
          <w:szCs w:val="24"/>
        </w:rPr>
      </w:pPr>
      <w:r>
        <w:rPr>
          <w:rFonts w:hint="eastAsia" w:cs="宋体"/>
          <w:sz w:val="24"/>
          <w:szCs w:val="24"/>
        </w:rPr>
        <w:t>第六条</w:t>
      </w:r>
      <w:r>
        <w:rPr>
          <w:rFonts w:cs="宋体"/>
          <w:sz w:val="24"/>
          <w:szCs w:val="24"/>
        </w:rPr>
        <w:t xml:space="preserve"> </w:t>
      </w:r>
      <w:r>
        <w:rPr>
          <w:rFonts w:hint="eastAsia" w:cs="宋体"/>
          <w:sz w:val="24"/>
          <w:szCs w:val="24"/>
        </w:rPr>
        <w:t>热爱医学教育事业，掌握党和国家的教育方针，医德医风高尚，工作作风踏实，治学态度严谨，有丰富的临床工作经验及熟练的临床工作技能，能认真履行职责。</w:t>
      </w:r>
    </w:p>
    <w:p>
      <w:pPr>
        <w:spacing w:line="360" w:lineRule="auto"/>
        <w:ind w:firstLine="31680" w:firstLineChars="200"/>
        <w:rPr>
          <w:sz w:val="24"/>
          <w:szCs w:val="24"/>
        </w:rPr>
      </w:pPr>
      <w:r>
        <w:rPr>
          <w:rFonts w:hint="eastAsia" w:cs="宋体"/>
          <w:sz w:val="24"/>
          <w:szCs w:val="24"/>
        </w:rPr>
        <w:t>第七条</w:t>
      </w:r>
      <w:r>
        <w:rPr>
          <w:rFonts w:cs="宋体"/>
          <w:sz w:val="24"/>
          <w:szCs w:val="24"/>
        </w:rPr>
        <w:t xml:space="preserve"> </w:t>
      </w:r>
      <w:r>
        <w:rPr>
          <w:rFonts w:hint="eastAsia" w:cs="宋体"/>
          <w:sz w:val="24"/>
          <w:szCs w:val="24"/>
        </w:rPr>
        <w:t>熟悉学位管理条例，熟悉国家有关医学专业学位研究生教育的文件精神，严格遵守研究生教育规章制度，能按照医学专业学位研究生培养规律、要求和特点，承担临床医学硕士研究生的培养。</w:t>
      </w:r>
    </w:p>
    <w:p>
      <w:pPr>
        <w:spacing w:line="360" w:lineRule="auto"/>
        <w:ind w:firstLine="31680" w:firstLineChars="200"/>
        <w:rPr>
          <w:sz w:val="24"/>
          <w:szCs w:val="24"/>
        </w:rPr>
      </w:pPr>
      <w:r>
        <w:rPr>
          <w:rFonts w:hint="eastAsia" w:cs="宋体"/>
          <w:sz w:val="24"/>
          <w:szCs w:val="24"/>
        </w:rPr>
        <w:t>第八条</w:t>
      </w:r>
      <w:r>
        <w:rPr>
          <w:rFonts w:cs="宋体"/>
          <w:sz w:val="24"/>
          <w:szCs w:val="24"/>
        </w:rPr>
        <w:t xml:space="preserve"> </w:t>
      </w:r>
      <w:r>
        <w:rPr>
          <w:rFonts w:hint="eastAsia" w:cs="宋体"/>
          <w:sz w:val="24"/>
          <w:szCs w:val="24"/>
        </w:rPr>
        <w:t>具有主任医师、副主任医师或相当的高级职称；副主任医师及相当职称人员原则上需具有硕士及以上学历。</w:t>
      </w:r>
    </w:p>
    <w:p>
      <w:pPr>
        <w:spacing w:line="500" w:lineRule="exact"/>
        <w:ind w:firstLine="31680" w:firstLineChars="200"/>
        <w:rPr>
          <w:rFonts w:ascii="宋体"/>
          <w:sz w:val="24"/>
          <w:szCs w:val="24"/>
        </w:rPr>
      </w:pPr>
      <w:r>
        <w:rPr>
          <w:rFonts w:hint="eastAsia" w:ascii="宋体" w:hAnsi="宋体" w:cs="宋体"/>
          <w:sz w:val="24"/>
          <w:szCs w:val="24"/>
        </w:rPr>
        <w:t>第九条</w:t>
      </w:r>
      <w:r>
        <w:rPr>
          <w:rFonts w:ascii="宋体" w:hAnsi="宋体" w:cs="宋体"/>
          <w:sz w:val="24"/>
          <w:szCs w:val="24"/>
        </w:rPr>
        <w:t xml:space="preserve"> </w:t>
      </w:r>
      <w:r>
        <w:rPr>
          <w:rFonts w:hint="eastAsia" w:ascii="宋体" w:hAnsi="宋体" w:cs="宋体"/>
          <w:sz w:val="24"/>
          <w:szCs w:val="24"/>
        </w:rPr>
        <w:t>身体健康，男性不超过</w:t>
      </w:r>
      <w:r>
        <w:rPr>
          <w:rFonts w:ascii="宋体" w:hAnsi="宋体" w:cs="宋体"/>
          <w:sz w:val="24"/>
          <w:szCs w:val="24"/>
        </w:rPr>
        <w:t>57</w:t>
      </w:r>
      <w:r>
        <w:rPr>
          <w:rFonts w:hint="eastAsia" w:ascii="宋体" w:hAnsi="宋体" w:cs="宋体"/>
          <w:sz w:val="24"/>
          <w:szCs w:val="24"/>
        </w:rPr>
        <w:t>周岁，女性不超过</w:t>
      </w:r>
      <w:r>
        <w:rPr>
          <w:rFonts w:ascii="宋体" w:hAnsi="宋体" w:cs="宋体"/>
          <w:sz w:val="24"/>
          <w:szCs w:val="24"/>
        </w:rPr>
        <w:t>52</w:t>
      </w:r>
      <w:r>
        <w:rPr>
          <w:rFonts w:hint="eastAsia" w:ascii="宋体" w:hAnsi="宋体" w:cs="宋体"/>
          <w:sz w:val="24"/>
          <w:szCs w:val="24"/>
        </w:rPr>
        <w:t>周岁。</w:t>
      </w:r>
    </w:p>
    <w:p>
      <w:pPr>
        <w:spacing w:line="360" w:lineRule="auto"/>
        <w:ind w:firstLine="31680" w:firstLineChars="200"/>
        <w:rPr>
          <w:color w:val="000000"/>
          <w:sz w:val="24"/>
          <w:szCs w:val="24"/>
        </w:rPr>
      </w:pPr>
      <w:r>
        <w:rPr>
          <w:rFonts w:hint="eastAsia" w:cs="宋体"/>
          <w:color w:val="000000"/>
          <w:sz w:val="24"/>
          <w:szCs w:val="24"/>
        </w:rPr>
        <w:t>第十条</w:t>
      </w:r>
      <w:r>
        <w:rPr>
          <w:rFonts w:cs="宋体"/>
          <w:color w:val="000000"/>
          <w:sz w:val="24"/>
          <w:szCs w:val="24"/>
        </w:rPr>
        <w:t xml:space="preserve"> </w:t>
      </w:r>
      <w:r>
        <w:rPr>
          <w:rFonts w:hint="eastAsia" w:cs="宋体"/>
          <w:color w:val="000000"/>
          <w:sz w:val="24"/>
          <w:szCs w:val="24"/>
        </w:rPr>
        <w:t>近</w:t>
      </w:r>
      <w:r>
        <w:rPr>
          <w:rFonts w:cs="宋体"/>
          <w:color w:val="000000"/>
          <w:sz w:val="24"/>
          <w:szCs w:val="24"/>
        </w:rPr>
        <w:t>4</w:t>
      </w:r>
      <w:r>
        <w:rPr>
          <w:rFonts w:hint="eastAsia" w:cs="宋体"/>
          <w:color w:val="000000"/>
          <w:sz w:val="24"/>
          <w:szCs w:val="24"/>
        </w:rPr>
        <w:t>年内，</w:t>
      </w:r>
      <w:r>
        <w:rPr>
          <w:rFonts w:hint="eastAsia" w:ascii="宋体" w:hAnsi="宋体" w:cs="宋体"/>
          <w:color w:val="000000"/>
          <w:sz w:val="24"/>
          <w:szCs w:val="24"/>
        </w:rPr>
        <w:t>申请者的科研、成果需具备下列条件之一</w:t>
      </w:r>
      <w:r>
        <w:rPr>
          <w:rFonts w:hint="eastAsia" w:cs="宋体"/>
          <w:color w:val="000000"/>
          <w:sz w:val="24"/>
          <w:szCs w:val="24"/>
        </w:rPr>
        <w:t>：</w:t>
      </w:r>
    </w:p>
    <w:p>
      <w:pPr>
        <w:spacing w:line="360" w:lineRule="auto"/>
        <w:ind w:firstLine="31680" w:firstLineChars="200"/>
        <w:rPr>
          <w:rFonts w:ascii="宋体" w:cs="宋体"/>
          <w:sz w:val="24"/>
          <w:szCs w:val="24"/>
        </w:rPr>
      </w:pPr>
      <w:r>
        <w:rPr>
          <w:sz w:val="24"/>
          <w:szCs w:val="24"/>
        </w:rPr>
        <w:t>1</w:t>
      </w:r>
      <w:r>
        <w:rPr>
          <w:rFonts w:hint="eastAsia"/>
          <w:sz w:val="24"/>
          <w:szCs w:val="24"/>
        </w:rPr>
        <w:t>、</w:t>
      </w:r>
      <w:r>
        <w:rPr>
          <w:rFonts w:hint="eastAsia" w:ascii="宋体" w:hAnsi="宋体" w:cs="宋体"/>
          <w:sz w:val="24"/>
          <w:szCs w:val="24"/>
        </w:rPr>
        <w:t>以第一作者身份，在省级以上（含省级）学术刊物上公开发表</w:t>
      </w:r>
      <w:r>
        <w:rPr>
          <w:rFonts w:ascii="宋体" w:hAnsi="宋体" w:cs="宋体"/>
          <w:sz w:val="24"/>
          <w:szCs w:val="24"/>
        </w:rPr>
        <w:t>1</w:t>
      </w:r>
      <w:r>
        <w:rPr>
          <w:rFonts w:hint="eastAsia" w:ascii="宋体" w:hAnsi="宋体" w:cs="宋体"/>
          <w:sz w:val="24"/>
          <w:szCs w:val="24"/>
        </w:rPr>
        <w:t>篇以上（含</w:t>
      </w:r>
      <w:r>
        <w:rPr>
          <w:rFonts w:ascii="宋体" w:hAnsi="宋体" w:cs="宋体"/>
          <w:sz w:val="24"/>
          <w:szCs w:val="24"/>
        </w:rPr>
        <w:t>1</w:t>
      </w:r>
      <w:r>
        <w:rPr>
          <w:rFonts w:hint="eastAsia" w:ascii="宋体" w:hAnsi="宋体" w:cs="宋体"/>
          <w:sz w:val="24"/>
          <w:szCs w:val="24"/>
        </w:rPr>
        <w:t>篇）与专业方向相关的学术论文；</w:t>
      </w:r>
    </w:p>
    <w:p>
      <w:pPr>
        <w:spacing w:line="360" w:lineRule="auto"/>
        <w:ind w:firstLine="31680" w:firstLineChars="200"/>
        <w:rPr>
          <w:rFonts w:ascii="宋体" w:cs="宋体"/>
          <w:sz w:val="24"/>
          <w:szCs w:val="24"/>
        </w:rPr>
      </w:pPr>
      <w:r>
        <w:rPr>
          <w:rFonts w:ascii="宋体" w:hAnsi="宋体" w:cs="宋体"/>
          <w:sz w:val="24"/>
          <w:szCs w:val="24"/>
        </w:rPr>
        <w:t>2</w:t>
      </w:r>
      <w:r>
        <w:rPr>
          <w:rFonts w:hint="eastAsia" w:ascii="宋体" w:hAnsi="宋体" w:cs="宋体"/>
          <w:sz w:val="24"/>
          <w:szCs w:val="24"/>
        </w:rPr>
        <w:t>、正式出版</w:t>
      </w:r>
      <w:r>
        <w:rPr>
          <w:rFonts w:ascii="宋体" w:hAnsi="宋体" w:cs="宋体"/>
          <w:sz w:val="24"/>
          <w:szCs w:val="24"/>
        </w:rPr>
        <w:t>1</w:t>
      </w:r>
      <w:r>
        <w:rPr>
          <w:rFonts w:hint="eastAsia" w:ascii="宋体" w:hAnsi="宋体" w:cs="宋体"/>
          <w:sz w:val="24"/>
          <w:szCs w:val="24"/>
        </w:rPr>
        <w:t>部以上（含</w:t>
      </w:r>
      <w:r>
        <w:rPr>
          <w:rFonts w:ascii="宋体" w:hAnsi="宋体" w:cs="宋体"/>
          <w:sz w:val="24"/>
          <w:szCs w:val="24"/>
        </w:rPr>
        <w:t>1</w:t>
      </w:r>
      <w:r>
        <w:rPr>
          <w:rFonts w:hint="eastAsia" w:ascii="宋体" w:hAnsi="宋体" w:cs="宋体"/>
          <w:sz w:val="24"/>
          <w:szCs w:val="24"/>
        </w:rPr>
        <w:t>部）学术专著或主编规划、统编教材</w:t>
      </w:r>
      <w:r>
        <w:rPr>
          <w:rFonts w:ascii="宋体" w:hAnsi="宋体" w:cs="宋体"/>
          <w:sz w:val="24"/>
          <w:szCs w:val="24"/>
        </w:rPr>
        <w:t>1</w:t>
      </w:r>
      <w:r>
        <w:rPr>
          <w:rFonts w:hint="eastAsia" w:ascii="宋体" w:hAnsi="宋体" w:cs="宋体"/>
          <w:sz w:val="24"/>
          <w:szCs w:val="24"/>
        </w:rPr>
        <w:t>部以上（含</w:t>
      </w:r>
      <w:r>
        <w:rPr>
          <w:rFonts w:ascii="宋体" w:hAnsi="宋体" w:cs="宋体"/>
          <w:sz w:val="24"/>
          <w:szCs w:val="24"/>
        </w:rPr>
        <w:t>1</w:t>
      </w:r>
      <w:r>
        <w:rPr>
          <w:rFonts w:hint="eastAsia" w:ascii="宋体" w:hAnsi="宋体" w:cs="宋体"/>
          <w:sz w:val="24"/>
          <w:szCs w:val="24"/>
        </w:rPr>
        <w:t>部）；</w:t>
      </w:r>
    </w:p>
    <w:p>
      <w:pPr>
        <w:spacing w:line="360" w:lineRule="auto"/>
        <w:ind w:firstLine="31680" w:firstLineChars="200"/>
        <w:rPr>
          <w:rFonts w:ascii="宋体"/>
          <w:sz w:val="24"/>
          <w:szCs w:val="24"/>
        </w:rPr>
      </w:pPr>
      <w:r>
        <w:rPr>
          <w:rFonts w:ascii="宋体" w:hAnsi="宋体" w:cs="宋体"/>
          <w:sz w:val="24"/>
          <w:szCs w:val="24"/>
        </w:rPr>
        <w:t>3</w:t>
      </w:r>
      <w:r>
        <w:rPr>
          <w:rFonts w:hint="eastAsia" w:ascii="宋体" w:hAnsi="宋体" w:cs="宋体"/>
          <w:sz w:val="24"/>
          <w:szCs w:val="24"/>
        </w:rPr>
        <w:t>、获得国家级科研成果奖（教学成果奖）三等奖及以上（排名前</w:t>
      </w:r>
      <w:r>
        <w:rPr>
          <w:rFonts w:ascii="宋体" w:hAnsi="宋体" w:cs="宋体"/>
          <w:sz w:val="24"/>
          <w:szCs w:val="24"/>
        </w:rPr>
        <w:t>5</w:t>
      </w:r>
      <w:r>
        <w:rPr>
          <w:rFonts w:hint="eastAsia" w:ascii="宋体" w:hAnsi="宋体" w:cs="宋体"/>
          <w:sz w:val="24"/>
          <w:szCs w:val="24"/>
        </w:rPr>
        <w:t>）或省部级科研成果（教学成果奖）三等奖以上排名前</w:t>
      </w:r>
      <w:r>
        <w:rPr>
          <w:rFonts w:ascii="宋体" w:hAnsi="宋体" w:cs="宋体"/>
          <w:sz w:val="24"/>
          <w:szCs w:val="24"/>
        </w:rPr>
        <w:t>3</w:t>
      </w:r>
      <w:r>
        <w:rPr>
          <w:rFonts w:hint="eastAsia" w:ascii="宋体" w:hAnsi="宋体" w:cs="宋体"/>
          <w:sz w:val="24"/>
          <w:szCs w:val="24"/>
        </w:rPr>
        <w:t>。</w:t>
      </w:r>
    </w:p>
    <w:p>
      <w:pPr>
        <w:widowControl/>
        <w:adjustRightInd w:val="0"/>
        <w:snapToGrid w:val="0"/>
        <w:spacing w:line="500" w:lineRule="exact"/>
        <w:ind w:firstLine="31680" w:firstLineChars="200"/>
        <w:jc w:val="left"/>
        <w:rPr>
          <w:rFonts w:ascii="宋体" w:cs="宋体"/>
          <w:sz w:val="24"/>
          <w:szCs w:val="24"/>
        </w:rPr>
      </w:pPr>
      <w:r>
        <w:rPr>
          <w:rFonts w:ascii="宋体" w:hAnsi="宋体" w:cs="宋体"/>
          <w:sz w:val="24"/>
          <w:szCs w:val="24"/>
        </w:rPr>
        <w:t>4</w:t>
      </w:r>
      <w:r>
        <w:rPr>
          <w:rFonts w:hint="eastAsia" w:ascii="宋体" w:hAnsi="宋体" w:cs="宋体"/>
          <w:sz w:val="24"/>
          <w:szCs w:val="24"/>
        </w:rPr>
        <w:t>、具有明确而稳定的科研方向，有主持或参与地厅级以上课题研究经历；</w:t>
      </w:r>
    </w:p>
    <w:p>
      <w:pPr>
        <w:widowControl/>
        <w:adjustRightInd w:val="0"/>
        <w:snapToGrid w:val="0"/>
        <w:spacing w:line="500" w:lineRule="exact"/>
        <w:ind w:firstLine="31680" w:firstLineChars="200"/>
        <w:jc w:val="left"/>
        <w:rPr>
          <w:rFonts w:ascii="宋体" w:cs="宋体"/>
          <w:sz w:val="24"/>
          <w:szCs w:val="24"/>
        </w:rPr>
      </w:pPr>
      <w:r>
        <w:rPr>
          <w:rFonts w:ascii="宋体" w:hAnsi="宋体" w:cs="宋体"/>
          <w:sz w:val="24"/>
          <w:szCs w:val="24"/>
        </w:rPr>
        <w:t>5</w:t>
      </w:r>
      <w:r>
        <w:rPr>
          <w:rFonts w:hint="eastAsia" w:ascii="宋体" w:hAnsi="宋体" w:cs="宋体"/>
          <w:sz w:val="24"/>
          <w:szCs w:val="24"/>
        </w:rPr>
        <w:t>、获得过厅、地（市）级以上的科技进步奖（省部级一等奖排名前七、二等奖排名前五、三等奖排名前三，厅、地（市）级一等奖排名前三、二等奖排名前二）</w:t>
      </w:r>
    </w:p>
    <w:p>
      <w:pPr>
        <w:pStyle w:val="7"/>
        <w:spacing w:line="500" w:lineRule="exact"/>
        <w:ind w:firstLine="0" w:firstLineChars="0"/>
        <w:jc w:val="center"/>
        <w:rPr>
          <w:rFonts w:ascii="仿宋_GB2312" w:hAnsi="宋体" w:eastAsia="仿宋_GB2312" w:cs="仿宋_GB2312"/>
          <w:b/>
          <w:bCs/>
          <w:sz w:val="32"/>
          <w:szCs w:val="32"/>
        </w:rPr>
      </w:pPr>
      <w:r>
        <w:rPr>
          <w:rFonts w:hint="eastAsia" w:ascii="仿宋_GB2312" w:hAnsi="宋体" w:eastAsia="仿宋_GB2312" w:cs="仿宋_GB2312"/>
          <w:b/>
          <w:bCs/>
          <w:sz w:val="32"/>
          <w:szCs w:val="32"/>
        </w:rPr>
        <w:t>第四章</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基地医院导师遴选条件</w:t>
      </w:r>
    </w:p>
    <w:p>
      <w:pPr>
        <w:spacing w:line="360" w:lineRule="auto"/>
        <w:ind w:firstLine="31680" w:firstLineChars="200"/>
        <w:rPr>
          <w:rFonts w:ascii="宋体" w:cs="宋体"/>
          <w:sz w:val="24"/>
          <w:szCs w:val="24"/>
        </w:rPr>
      </w:pPr>
      <w:r>
        <w:rPr>
          <w:rFonts w:hint="eastAsia" w:ascii="宋体" w:hAnsi="宋体" w:cs="宋体"/>
          <w:sz w:val="24"/>
          <w:szCs w:val="24"/>
        </w:rPr>
        <w:t>第十一条</w:t>
      </w:r>
      <w:r>
        <w:rPr>
          <w:rFonts w:ascii="宋体" w:hAnsi="宋体" w:cs="宋体"/>
          <w:sz w:val="24"/>
          <w:szCs w:val="24"/>
        </w:rPr>
        <w:t xml:space="preserve"> </w:t>
      </w:r>
      <w:r>
        <w:rPr>
          <w:rFonts w:hint="eastAsia" w:cs="宋体"/>
          <w:sz w:val="24"/>
          <w:szCs w:val="24"/>
        </w:rPr>
        <w:t>基地医院或与学校签订合作协议的协作培养医院，其</w:t>
      </w:r>
      <w:r>
        <w:rPr>
          <w:rFonts w:hint="eastAsia" w:ascii="宋体" w:hAnsi="宋体" w:cs="宋体"/>
          <w:sz w:val="24"/>
          <w:szCs w:val="24"/>
        </w:rPr>
        <w:t>导师的遴选条件参照本办法中“第三章”执行</w:t>
      </w:r>
    </w:p>
    <w:p>
      <w:pPr>
        <w:pStyle w:val="7"/>
        <w:spacing w:line="500" w:lineRule="exact"/>
        <w:ind w:firstLine="0" w:firstLineChars="0"/>
        <w:jc w:val="center"/>
        <w:rPr>
          <w:rFonts w:ascii="仿宋_GB2312" w:hAnsi="宋体" w:eastAsia="仿宋_GB2312" w:cs="仿宋_GB2312"/>
          <w:b/>
          <w:bCs/>
          <w:sz w:val="32"/>
          <w:szCs w:val="32"/>
        </w:rPr>
      </w:pPr>
    </w:p>
    <w:p>
      <w:pPr>
        <w:pStyle w:val="7"/>
        <w:spacing w:line="500" w:lineRule="exact"/>
        <w:ind w:firstLine="0" w:firstLineChars="0"/>
        <w:jc w:val="center"/>
        <w:rPr>
          <w:rFonts w:ascii="宋体"/>
          <w:sz w:val="24"/>
          <w:szCs w:val="24"/>
        </w:rPr>
      </w:pPr>
      <w:r>
        <w:rPr>
          <w:rFonts w:hint="eastAsia" w:ascii="仿宋_GB2312" w:hAnsi="宋体" w:eastAsia="仿宋_GB2312" w:cs="仿宋_GB2312"/>
          <w:b/>
          <w:bCs/>
          <w:sz w:val="32"/>
          <w:szCs w:val="32"/>
        </w:rPr>
        <w:t>第五章附则</w:t>
      </w:r>
    </w:p>
    <w:p>
      <w:pPr>
        <w:spacing w:line="500" w:lineRule="exact"/>
        <w:ind w:firstLine="31680" w:firstLineChars="200"/>
        <w:rPr>
          <w:rFonts w:ascii="宋体" w:cs="宋体"/>
          <w:sz w:val="24"/>
          <w:szCs w:val="24"/>
        </w:rPr>
      </w:pPr>
      <w:r>
        <w:rPr>
          <w:rFonts w:hint="eastAsia" w:ascii="宋体" w:hAnsi="宋体" w:cs="宋体"/>
          <w:sz w:val="24"/>
          <w:szCs w:val="24"/>
        </w:rPr>
        <w:t>第十二条</w:t>
      </w:r>
      <w:r>
        <w:rPr>
          <w:rFonts w:ascii="宋体" w:hAnsi="宋体" w:cs="宋体"/>
          <w:sz w:val="24"/>
          <w:szCs w:val="24"/>
        </w:rPr>
        <w:t xml:space="preserve"> </w:t>
      </w:r>
      <w:r>
        <w:rPr>
          <w:rFonts w:hint="eastAsia" w:ascii="宋体" w:hAnsi="宋体" w:cs="宋体"/>
          <w:sz w:val="24"/>
          <w:szCs w:val="24"/>
        </w:rPr>
        <w:t>本办法自发布之日起执行，由研究生处负责解释。</w:t>
      </w:r>
    </w:p>
    <w:p>
      <w:pPr>
        <w:spacing w:line="500" w:lineRule="exact"/>
        <w:ind w:firstLine="31680" w:firstLineChars="2100"/>
        <w:rPr>
          <w:rFonts w:ascii="宋体" w:cs="宋体"/>
          <w:sz w:val="24"/>
          <w:szCs w:val="24"/>
        </w:rPr>
      </w:pPr>
    </w:p>
    <w:p>
      <w:pPr>
        <w:spacing w:line="500" w:lineRule="exact"/>
        <w:ind w:firstLine="31680" w:firstLineChars="2100"/>
        <w:rPr>
          <w:rFonts w:ascii="宋体" w:cs="宋体"/>
          <w:sz w:val="24"/>
          <w:szCs w:val="24"/>
        </w:rPr>
      </w:pPr>
    </w:p>
    <w:p>
      <w:pPr>
        <w:spacing w:line="500" w:lineRule="exact"/>
        <w:ind w:firstLine="31680" w:firstLineChars="2100"/>
        <w:rPr>
          <w:rFonts w:ascii="宋体"/>
          <w:sz w:val="24"/>
          <w:szCs w:val="24"/>
        </w:rPr>
      </w:pPr>
      <w:bookmarkStart w:id="0" w:name="_GoBack"/>
      <w:bookmarkEnd w:id="0"/>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12</w:t>
      </w:r>
      <w:r>
        <w:rPr>
          <w:rFonts w:hint="eastAsia" w:ascii="宋体" w:hAnsi="宋体" w:cs="宋体"/>
          <w:sz w:val="24"/>
          <w:szCs w:val="24"/>
        </w:rPr>
        <w:t>月</w:t>
      </w:r>
      <w:r>
        <w:rPr>
          <w:rFonts w:hint="eastAsia" w:ascii="宋体" w:hAnsi="宋体" w:cs="宋体"/>
          <w:sz w:val="24"/>
          <w:szCs w:val="24"/>
          <w:lang w:val="en-US" w:eastAsia="zh-CN"/>
        </w:rPr>
        <w:t>23</w:t>
      </w:r>
      <w:r>
        <w:rPr>
          <w:rFonts w:hint="eastAsia" w:ascii="宋体" w:hAnsi="宋体" w:cs="宋体"/>
          <w:sz w:val="24"/>
          <w:szCs w:val="24"/>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6189996">
    <w:nsid w:val="5469582C"/>
    <w:multiLevelType w:val="singleLevel"/>
    <w:tmpl w:val="5469582C"/>
    <w:lvl w:ilvl="0" w:tentative="1">
      <w:start w:val="1"/>
      <w:numFmt w:val="chineseCounting"/>
      <w:suff w:val="space"/>
      <w:lvlText w:val="第%1条"/>
      <w:lvlJc w:val="left"/>
      <w:rPr>
        <w:rFonts w:cs="Times New Roman"/>
      </w:rPr>
    </w:lvl>
  </w:abstractNum>
  <w:num w:numId="1">
    <w:abstractNumId w:val="14161899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8315A4"/>
    <w:rsid w:val="00000693"/>
    <w:rsid w:val="00020C5E"/>
    <w:rsid w:val="00053149"/>
    <w:rsid w:val="000739CF"/>
    <w:rsid w:val="000867B2"/>
    <w:rsid w:val="00086D42"/>
    <w:rsid w:val="000E3C07"/>
    <w:rsid w:val="00107C6F"/>
    <w:rsid w:val="001249D6"/>
    <w:rsid w:val="001407CA"/>
    <w:rsid w:val="001D6BF6"/>
    <w:rsid w:val="00242438"/>
    <w:rsid w:val="0024722E"/>
    <w:rsid w:val="002A792E"/>
    <w:rsid w:val="002C5A71"/>
    <w:rsid w:val="002D5C36"/>
    <w:rsid w:val="002F4115"/>
    <w:rsid w:val="002F422E"/>
    <w:rsid w:val="00321D18"/>
    <w:rsid w:val="0032795A"/>
    <w:rsid w:val="00400142"/>
    <w:rsid w:val="00430884"/>
    <w:rsid w:val="004339EA"/>
    <w:rsid w:val="00454374"/>
    <w:rsid w:val="004A2AAF"/>
    <w:rsid w:val="004E3C44"/>
    <w:rsid w:val="005C7633"/>
    <w:rsid w:val="00684AB5"/>
    <w:rsid w:val="006B4A43"/>
    <w:rsid w:val="00703765"/>
    <w:rsid w:val="00717345"/>
    <w:rsid w:val="007244A8"/>
    <w:rsid w:val="00756F44"/>
    <w:rsid w:val="00776403"/>
    <w:rsid w:val="007C4A4C"/>
    <w:rsid w:val="008072E5"/>
    <w:rsid w:val="00807DEF"/>
    <w:rsid w:val="00816279"/>
    <w:rsid w:val="008209D1"/>
    <w:rsid w:val="008315A4"/>
    <w:rsid w:val="00872CEA"/>
    <w:rsid w:val="00886595"/>
    <w:rsid w:val="008A6529"/>
    <w:rsid w:val="008A72D5"/>
    <w:rsid w:val="008E6E12"/>
    <w:rsid w:val="008F15CD"/>
    <w:rsid w:val="009228EE"/>
    <w:rsid w:val="009260CC"/>
    <w:rsid w:val="00931C37"/>
    <w:rsid w:val="009E79C6"/>
    <w:rsid w:val="009F0C89"/>
    <w:rsid w:val="00A101E9"/>
    <w:rsid w:val="00A27DFA"/>
    <w:rsid w:val="00A447D4"/>
    <w:rsid w:val="00A45F67"/>
    <w:rsid w:val="00A94341"/>
    <w:rsid w:val="00AE39BF"/>
    <w:rsid w:val="00AE6C9E"/>
    <w:rsid w:val="00B20C07"/>
    <w:rsid w:val="00B607B3"/>
    <w:rsid w:val="00B87176"/>
    <w:rsid w:val="00B8732A"/>
    <w:rsid w:val="00B97F88"/>
    <w:rsid w:val="00BA3CCA"/>
    <w:rsid w:val="00BD79EB"/>
    <w:rsid w:val="00BE3793"/>
    <w:rsid w:val="00C01A07"/>
    <w:rsid w:val="00C3134A"/>
    <w:rsid w:val="00C34593"/>
    <w:rsid w:val="00CA7E0A"/>
    <w:rsid w:val="00CB63CF"/>
    <w:rsid w:val="00CC1324"/>
    <w:rsid w:val="00CE2481"/>
    <w:rsid w:val="00D43F30"/>
    <w:rsid w:val="00D676C0"/>
    <w:rsid w:val="00DF2CA6"/>
    <w:rsid w:val="00DF4A5A"/>
    <w:rsid w:val="00E16913"/>
    <w:rsid w:val="00E45EC0"/>
    <w:rsid w:val="00E74219"/>
    <w:rsid w:val="00E77914"/>
    <w:rsid w:val="00EB650B"/>
    <w:rsid w:val="00F14A0D"/>
    <w:rsid w:val="00F327D8"/>
    <w:rsid w:val="00F51146"/>
    <w:rsid w:val="00F61B36"/>
    <w:rsid w:val="00F71C5E"/>
    <w:rsid w:val="00F81675"/>
    <w:rsid w:val="00FD72F2"/>
    <w:rsid w:val="0F5B4599"/>
    <w:rsid w:val="27355EBC"/>
    <w:rsid w:val="329E499A"/>
    <w:rsid w:val="346303BA"/>
    <w:rsid w:val="3DD85843"/>
    <w:rsid w:val="483F2B9A"/>
    <w:rsid w:val="511E7542"/>
    <w:rsid w:val="5252281F"/>
    <w:rsid w:val="688712C6"/>
    <w:rsid w:val="6B4D4F33"/>
    <w:rsid w:val="78632B8F"/>
    <w:rsid w:val="7F5E7584"/>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ocked="1"/>
    <w:lsdException w:uiPriority="0" w:name="footnote text" w:locked="1"/>
    <w:lsdException w:uiPriority="0" w:name="annotation text" w:locked="1"/>
    <w:lsdException w:unhideWhenUsed="0" w:uiPriority="99" w:name="header"/>
    <w:lsdException w:unhideWhenUsed="0" w:uiPriority="99" w:name="footer"/>
    <w:lsdException w:uiPriority="0" w:name="index heading" w:locked="1"/>
    <w:lsdException w:qFormat="1" w:uiPriority="0" w:name="caption"/>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sdException w:uiPriority="0" w:name="Closing" w:locked="1"/>
    <w:lsdException w:uiPriority="0" w:name="Signature" w:locked="1"/>
    <w:lsdException w:unhideWhenUsed="0" w:uiPriority="99" w:name="Default Paragraph Font"/>
    <w:lsdException w:uiPriority="0" w:name="Body Text" w:locked="1"/>
    <w:lsdException w:unhideWhenUsed="0" w:uiPriority="99" w:semiHidden="0" w:name="Body Text Indent"/>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0" w:semiHidden="0" w:name="Subtitle"/>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0" w:semiHidden="0" w:name="Strong"/>
    <w:lsdException w:qFormat="1" w:unhideWhenUsed="0" w:uiPriority="0" w:semiHidden="0" w:name="Emphasis"/>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name="Normal Table"/>
    <w:lsdException w:uiPriority="0" w:name="annotation subject" w:locked="1"/>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0" w:name="Balloon Text" w:locked="1"/>
    <w:lsdException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99"/>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Body Text Indent"/>
    <w:basedOn w:val="1"/>
    <w:link w:val="8"/>
    <w:uiPriority w:val="99"/>
    <w:pPr>
      <w:spacing w:line="560" w:lineRule="exact"/>
      <w:ind w:firstLine="540"/>
    </w:pPr>
    <w:rPr>
      <w:rFonts w:ascii="仿宋_GB2312" w:eastAsia="仿宋_GB2312" w:cs="仿宋_GB2312"/>
      <w:sz w:val="28"/>
      <w:szCs w:val="28"/>
    </w:rPr>
  </w:style>
  <w:style w:type="paragraph" w:styleId="3">
    <w:name w:val="footer"/>
    <w:basedOn w:val="1"/>
    <w:link w:val="9"/>
    <w:semiHidden/>
    <w:uiPriority w:val="99"/>
    <w:pPr>
      <w:tabs>
        <w:tab w:val="center" w:pos="4153"/>
        <w:tab w:val="right" w:pos="8306"/>
      </w:tabs>
      <w:snapToGrid w:val="0"/>
      <w:jc w:val="left"/>
    </w:pPr>
    <w:rPr>
      <w:sz w:val="18"/>
      <w:szCs w:val="18"/>
    </w:rPr>
  </w:style>
  <w:style w:type="paragraph" w:styleId="4">
    <w:name w:val="header"/>
    <w:basedOn w:val="1"/>
    <w:link w:val="10"/>
    <w:semiHidden/>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1"/>
    <w:basedOn w:val="1"/>
    <w:uiPriority w:val="99"/>
    <w:pPr>
      <w:ind w:firstLine="420" w:firstLineChars="200"/>
    </w:pPr>
  </w:style>
  <w:style w:type="character" w:customStyle="1" w:styleId="8">
    <w:name w:val="Body Text Indent Char"/>
    <w:basedOn w:val="5"/>
    <w:link w:val="2"/>
    <w:locked/>
    <w:uiPriority w:val="99"/>
    <w:rPr>
      <w:rFonts w:ascii="仿宋_GB2312" w:hAnsi="Times New Roman" w:eastAsia="仿宋_GB2312" w:cs="仿宋_GB2312"/>
      <w:sz w:val="24"/>
      <w:szCs w:val="24"/>
    </w:rPr>
  </w:style>
  <w:style w:type="character" w:customStyle="1" w:styleId="9">
    <w:name w:val="Footer Char"/>
    <w:basedOn w:val="5"/>
    <w:link w:val="3"/>
    <w:semiHidden/>
    <w:locked/>
    <w:uiPriority w:val="99"/>
    <w:rPr>
      <w:rFonts w:cs="Times New Roman"/>
      <w:sz w:val="18"/>
      <w:szCs w:val="18"/>
    </w:rPr>
  </w:style>
  <w:style w:type="character" w:customStyle="1" w:styleId="10">
    <w:name w:val="Header Char"/>
    <w:basedOn w:val="5"/>
    <w:link w:val="4"/>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2</Pages>
  <Words>160</Words>
  <Characters>912</Characters>
  <Lines>0</Lines>
  <Paragraphs>0</Paragraphs>
  <TotalTime>0</TotalTime>
  <ScaleCrop>false</ScaleCrop>
  <LinksUpToDate>false</LinksUpToDate>
  <CharactersWithSpaces>0</CharactersWithSpaces>
  <Application>WPS Office 个人版_9.1.0.4866_{F1E327BC-269C-435d-A152-05C5408002CA}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2014-12-17T02:14:00Z</dcterms:created>
  <dc:creator>002923</dc:creator>
  <cp:lastModifiedBy>xlc</cp:lastModifiedBy>
  <cp:lastPrinted>2014-10-28T03:02:00Z</cp:lastPrinted>
  <dcterms:modified xsi:type="dcterms:W3CDTF">2014-12-24T00:53:16Z</dcterms:modified>
  <dc:title>吉首大学临床医学硕士导师遴选细则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